
<file path=[Content_Types].xml><?xml version="1.0" encoding="utf-8"?>
<Types xmlns="http://schemas.openxmlformats.org/package/2006/content-types">
  <Override PartName="/word/fontTable.xml" ContentType="application/vnd.openxmlformats-officedocument.wordprocessingml.fontTable+xml"/>
  <Override PartName="/word/header3.xml" ContentType="application/vnd.openxmlformats-officedocument.wordprocessingml.header+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jpeg" ContentType="image/jpeg"/>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header2.xml" ContentType="application/vnd.openxmlformats-officedocument.wordprocessingml.header+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6A498E" w:rsidRPr="006A498E" w:rsidRDefault="006A498E" w:rsidP="006A498E">
      <w:pPr>
        <w:jc w:val="center"/>
        <w:rPr>
          <w:rFonts w:ascii="Abadi MT Condensed Light" w:hAnsi="Abadi MT Condensed Light"/>
          <w:caps/>
          <w:color w:val="2C1600"/>
          <w:sz w:val="24"/>
          <w:u w:val="single"/>
        </w:rPr>
      </w:pPr>
      <w:r w:rsidRPr="006A498E">
        <w:rPr>
          <w:rFonts w:ascii="Abadi MT Condensed Light" w:hAnsi="Abadi MT Condensed Light"/>
          <w:caps/>
          <w:color w:val="2C1600"/>
          <w:sz w:val="24"/>
          <w:u w:val="single"/>
        </w:rPr>
        <w:t xml:space="preserve">Modèle de </w:t>
      </w:r>
    </w:p>
    <w:p w:rsidR="006A498E" w:rsidRPr="006A498E" w:rsidRDefault="006A498E" w:rsidP="006A498E">
      <w:pPr>
        <w:jc w:val="center"/>
        <w:rPr>
          <w:rFonts w:ascii="Abadi MT Condensed Light" w:hAnsi="Abadi MT Condensed Light"/>
          <w:caps/>
          <w:color w:val="2C1600"/>
          <w:sz w:val="24"/>
          <w:u w:val="single"/>
        </w:rPr>
      </w:pPr>
      <w:r w:rsidRPr="006A498E">
        <w:rPr>
          <w:rFonts w:ascii="Abadi MT Condensed Light" w:hAnsi="Abadi MT Condensed Light"/>
          <w:caps/>
          <w:color w:val="2C1600"/>
          <w:sz w:val="24"/>
          <w:u w:val="single"/>
        </w:rPr>
        <w:t>délibération du conseil municipal de …………portant refus du déclassement des compteurs d’électricité existants et de leur élimination</w:t>
      </w:r>
    </w:p>
    <w:p w:rsidR="006A498E" w:rsidRPr="001337E2" w:rsidRDefault="006A498E" w:rsidP="006A498E">
      <w:pPr>
        <w:jc w:val="center"/>
        <w:rPr>
          <w:rFonts w:ascii="Abadi MT Condensed Light" w:hAnsi="Abadi MT Condensed Light"/>
          <w:color w:val="2C1600"/>
          <w:sz w:val="24"/>
          <w:szCs w:val="20"/>
        </w:rPr>
      </w:pPr>
    </w:p>
    <w:p w:rsidR="006A498E" w:rsidRPr="001337E2" w:rsidRDefault="006A498E" w:rsidP="006A498E">
      <w:pPr>
        <w:jc w:val="center"/>
        <w:rPr>
          <w:rFonts w:ascii="Abadi MT Condensed Light" w:hAnsi="Abadi MT Condensed Light"/>
          <w:color w:val="2C1600"/>
          <w:sz w:val="26"/>
        </w:rPr>
      </w:pPr>
      <w:r w:rsidRPr="001337E2">
        <w:rPr>
          <w:rFonts w:ascii="Abadi MT Condensed Light" w:hAnsi="Abadi MT Condensed Light"/>
          <w:color w:val="2C1600"/>
          <w:sz w:val="26"/>
        </w:rPr>
        <w:t>Délibération du conseil municipal de………</w:t>
      </w:r>
      <w:proofErr w:type="gramStart"/>
      <w:r w:rsidRPr="001337E2">
        <w:rPr>
          <w:rFonts w:ascii="Abadi MT Condensed Light" w:hAnsi="Abadi MT Condensed Light"/>
          <w:color w:val="2C1600"/>
          <w:sz w:val="26"/>
        </w:rPr>
        <w:t>..</w:t>
      </w:r>
      <w:proofErr w:type="gramEnd"/>
    </w:p>
    <w:p w:rsidR="006A498E" w:rsidRPr="001337E2" w:rsidRDefault="006A498E" w:rsidP="006A498E">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portant</w:t>
      </w:r>
      <w:proofErr w:type="gramEnd"/>
      <w:r w:rsidRPr="001337E2">
        <w:rPr>
          <w:rFonts w:ascii="Abadi MT Condensed Light" w:hAnsi="Abadi MT Condensed Light"/>
          <w:color w:val="2C1600"/>
          <w:sz w:val="26"/>
        </w:rPr>
        <w:t xml:space="preserve"> refus du déclassement </w:t>
      </w:r>
    </w:p>
    <w:p w:rsidR="006A498E" w:rsidRPr="001337E2" w:rsidRDefault="006A498E" w:rsidP="006A498E">
      <w:pPr>
        <w:jc w:val="center"/>
        <w:rPr>
          <w:rFonts w:ascii="Abadi MT Condensed Light" w:hAnsi="Abadi MT Condensed Light"/>
          <w:color w:val="2C1600"/>
          <w:sz w:val="26"/>
        </w:rPr>
      </w:pPr>
      <w:proofErr w:type="gramStart"/>
      <w:r w:rsidRPr="001337E2">
        <w:rPr>
          <w:rFonts w:ascii="Abadi MT Condensed Light" w:hAnsi="Abadi MT Condensed Light"/>
          <w:color w:val="2C1600"/>
          <w:sz w:val="26"/>
        </w:rPr>
        <w:t>des</w:t>
      </w:r>
      <w:proofErr w:type="gramEnd"/>
      <w:r w:rsidRPr="001337E2">
        <w:rPr>
          <w:rFonts w:ascii="Abadi MT Condensed Light" w:hAnsi="Abadi MT Condensed Light"/>
          <w:color w:val="2C1600"/>
          <w:sz w:val="26"/>
        </w:rPr>
        <w:t xml:space="preserve"> compteurs d’électricité existants et de leur élimination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Vu l’article L. 2121-29 du code général des collectivités territoriales ;</w:t>
      </w: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 xml:space="preserve"> </w:t>
      </w: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Vu l’article L. 2122-21 du code général des collectivités territoriales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Vu l’article L. 1321-1 du code général des collectivités territoriales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les compteurs d’électricité sont des ouvrages basse tension du réseau public de distribution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les compteurs sont affectés au service public de distribution de l’électricité et font l’objet d’un aménagement indispensable à l’exécution des missions de ce service public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qu’en vertu de l’article L. 322-4 du code de l’énergie, les ouvrages des réseaux publics de distribution sont la propriété des collectivités publiques et de leur groupement désignés au IV de l’article L. 2224-31 du code général des collectivités territoriales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les compteurs re</w:t>
      </w:r>
      <w:r>
        <w:rPr>
          <w:rFonts w:ascii="Abadi MT Condensed Light" w:hAnsi="Abadi MT Condensed Light"/>
          <w:color w:val="2C1600"/>
          <w:sz w:val="26"/>
        </w:rPr>
        <w:t>lèvent du domaine public de la c</w:t>
      </w:r>
      <w:r w:rsidRPr="001337E2">
        <w:rPr>
          <w:rFonts w:ascii="Abadi MT Condensed Light" w:hAnsi="Abadi MT Condensed Light"/>
          <w:color w:val="2C1600"/>
          <w:sz w:val="26"/>
        </w:rPr>
        <w:t>ommune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la compétence d’autorité organisatrice d’un réseau public de distri</w:t>
      </w:r>
      <w:r>
        <w:rPr>
          <w:rFonts w:ascii="Abadi MT Condensed Light" w:hAnsi="Abadi MT Condensed Light"/>
          <w:color w:val="2C1600"/>
          <w:sz w:val="26"/>
        </w:rPr>
        <w:t xml:space="preserve">bution a été </w:t>
      </w:r>
      <w:proofErr w:type="gramStart"/>
      <w:r>
        <w:rPr>
          <w:rFonts w:ascii="Abadi MT Condensed Light" w:hAnsi="Abadi MT Condensed Light"/>
          <w:color w:val="2C1600"/>
          <w:sz w:val="26"/>
        </w:rPr>
        <w:t>transférée</w:t>
      </w:r>
      <w:proofErr w:type="gramEnd"/>
      <w:r>
        <w:rPr>
          <w:rFonts w:ascii="Abadi MT Condensed Light" w:hAnsi="Abadi MT Condensed Light"/>
          <w:color w:val="2C1600"/>
          <w:sz w:val="26"/>
        </w:rPr>
        <w:t xml:space="preserve"> par la c</w:t>
      </w:r>
      <w:r w:rsidRPr="001337E2">
        <w:rPr>
          <w:rFonts w:ascii="Abadi MT Condensed Light" w:hAnsi="Abadi MT Condensed Light"/>
          <w:color w:val="2C1600"/>
          <w:sz w:val="26"/>
        </w:rPr>
        <w:t>ommune à un établissement public</w:t>
      </w:r>
      <w:r>
        <w:rPr>
          <w:rFonts w:ascii="Abadi MT Condensed Light" w:hAnsi="Abadi MT Condensed Light"/>
          <w:color w:val="2C1600"/>
          <w:sz w:val="26"/>
        </w:rPr>
        <w:t xml:space="preserve"> </w:t>
      </w:r>
      <w:r w:rsidRPr="001337E2">
        <w:rPr>
          <w:rFonts w:ascii="Abadi MT Condensed Light" w:hAnsi="Abadi MT Condensed Light"/>
          <w:color w:val="2C1600"/>
          <w:sz w:val="26"/>
        </w:rPr>
        <w:t>;</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qu’en vertu de l’article L. 1321-1 du code général des collectivités territoriales, le transfert de compétence entraine de plein droit la mise à la disposition de l’établissement public des biens meubles et immeubles utilisés pour l’exercice de cette compétence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la mise à disposition des biens, et notamment des compteurs électriques, n’emporte pas un transfert de propriété de ces biens qu</w:t>
      </w:r>
      <w:r>
        <w:rPr>
          <w:rFonts w:ascii="Abadi MT Condensed Light" w:hAnsi="Abadi MT Condensed Light"/>
          <w:color w:val="2C1600"/>
          <w:sz w:val="26"/>
        </w:rPr>
        <w:t>i demeurent la propriété de la c</w:t>
      </w:r>
      <w:r w:rsidRPr="001337E2">
        <w:rPr>
          <w:rFonts w:ascii="Abadi MT Condensed Light" w:hAnsi="Abadi MT Condensed Light"/>
          <w:color w:val="2C1600"/>
          <w:sz w:val="26"/>
        </w:rPr>
        <w:t>ommune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la décision de remplacer les compteurs existants par un compteur communicant n’a pas, par sa nature et sa portée, le caractère d’une décision de gestion qui relèverait de la compétence de l’établissement public</w:t>
      </w:r>
      <w:r>
        <w:rPr>
          <w:rFonts w:ascii="Abadi MT Condensed Light" w:hAnsi="Abadi MT Condensed Light"/>
          <w:color w:val="2C1600"/>
          <w:sz w:val="26"/>
        </w:rPr>
        <w:t xml:space="preserve"> </w:t>
      </w:r>
      <w:r w:rsidRPr="001337E2">
        <w:rPr>
          <w:rFonts w:ascii="Abadi MT Condensed Light" w:hAnsi="Abadi MT Condensed Light"/>
          <w:color w:val="2C1600"/>
          <w:sz w:val="26"/>
        </w:rPr>
        <w:t>;</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qu’en cas de désaffectation d’u</w:t>
      </w:r>
      <w:r>
        <w:rPr>
          <w:rFonts w:ascii="Abadi MT Condensed Light" w:hAnsi="Abadi MT Condensed Light"/>
          <w:color w:val="2C1600"/>
          <w:sz w:val="26"/>
        </w:rPr>
        <w:t>n bien du domaine public d’une c</w:t>
      </w:r>
      <w:r w:rsidRPr="001337E2">
        <w:rPr>
          <w:rFonts w:ascii="Abadi MT Condensed Light" w:hAnsi="Abadi MT Condensed Light"/>
          <w:color w:val="2C1600"/>
          <w:sz w:val="26"/>
        </w:rPr>
        <w:t>ommune mis à la disposition d’un établissement public</w:t>
      </w:r>
      <w:r>
        <w:rPr>
          <w:rFonts w:ascii="Abadi MT Condensed Light" w:hAnsi="Abadi MT Condensed Light"/>
          <w:color w:val="2C1600"/>
          <w:sz w:val="26"/>
        </w:rPr>
        <w:t>, la c</w:t>
      </w:r>
      <w:r w:rsidRPr="001337E2">
        <w:rPr>
          <w:rFonts w:ascii="Abadi MT Condensed Light" w:hAnsi="Abadi MT Condensed Light"/>
          <w:color w:val="2C1600"/>
          <w:sz w:val="26"/>
        </w:rPr>
        <w:t>ommune recouvre l’ensemble de ses droits et obligations sur ce bien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la destruction, l’élimination ou le recyclage des compteurs électriques existants implique leur aliénation, ce qui suppose une décision préalable de déclassement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la décision de déclassement d’un bien va au-delà d’un simple acte de gestion relevant de la compétence de l’établissement public</w:t>
      </w:r>
      <w:r>
        <w:rPr>
          <w:rFonts w:ascii="Abadi MT Condensed Light" w:hAnsi="Abadi MT Condensed Light"/>
          <w:color w:val="2C1600"/>
          <w:sz w:val="26"/>
        </w:rPr>
        <w:t xml:space="preserve"> </w:t>
      </w:r>
      <w:r w:rsidRPr="001337E2">
        <w:rPr>
          <w:rFonts w:ascii="Abadi MT Condensed Light" w:hAnsi="Abadi MT Condensed Light"/>
          <w:color w:val="2C1600"/>
          <w:sz w:val="26"/>
        </w:rPr>
        <w:t>;</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Pr>
          <w:rFonts w:ascii="Abadi MT Condensed Light" w:hAnsi="Abadi MT Condensed Light"/>
          <w:color w:val="2C1600"/>
          <w:sz w:val="26"/>
        </w:rPr>
        <w:t>Considérant que la c</w:t>
      </w:r>
      <w:r w:rsidRPr="001337E2">
        <w:rPr>
          <w:rFonts w:ascii="Abadi MT Condensed Light" w:hAnsi="Abadi MT Condensed Light"/>
          <w:color w:val="2C1600"/>
          <w:sz w:val="26"/>
        </w:rPr>
        <w:t xml:space="preserve">ommune, en tant que propriétaire des compteurs, est seule compétente pour prononcer le déclassement d’un bien de son domaine public et son élimination ;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Considérant que l’établissement public ne peut pas aliéner les compteurs existants sans l</w:t>
      </w:r>
      <w:r>
        <w:rPr>
          <w:rFonts w:ascii="Abadi MT Condensed Light" w:hAnsi="Abadi MT Condensed Light"/>
          <w:color w:val="2C1600"/>
          <w:sz w:val="26"/>
        </w:rPr>
        <w:t>e consentement préalable de la c</w:t>
      </w:r>
      <w:r w:rsidRPr="001337E2">
        <w:rPr>
          <w:rFonts w:ascii="Abadi MT Condensed Light" w:hAnsi="Abadi MT Condensed Light"/>
          <w:color w:val="2C1600"/>
          <w:sz w:val="26"/>
        </w:rPr>
        <w:t>ommune et le déclassement préalable des compteurs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r w:rsidRPr="001337E2">
        <w:rPr>
          <w:rFonts w:ascii="Abadi MT Condensed Light" w:hAnsi="Abadi MT Condensed Light"/>
          <w:color w:val="2C1600"/>
          <w:sz w:val="26"/>
        </w:rPr>
        <w:t>Le Conseil municipal, après en avoir délibéré :</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Refuse le déclassement des compteurs d’électricité existants ;</w:t>
      </w:r>
    </w:p>
    <w:p w:rsidR="006A498E" w:rsidRPr="001337E2" w:rsidRDefault="006A498E" w:rsidP="006A498E">
      <w:pPr>
        <w:pStyle w:val="Paragraphedeliste"/>
        <w:spacing w:line="240" w:lineRule="auto"/>
        <w:ind w:left="720"/>
        <w:contextualSpacing/>
        <w:rPr>
          <w:rFonts w:ascii="Abadi MT Condensed Light" w:hAnsi="Abadi MT Condensed Light"/>
          <w:color w:val="2C1600"/>
          <w:sz w:val="26"/>
        </w:rPr>
      </w:pPr>
    </w:p>
    <w:p w:rsidR="006A498E" w:rsidRPr="001337E2" w:rsidRDefault="006A498E" w:rsidP="006A498E">
      <w:pPr>
        <w:pStyle w:val="Paragraphedeliste"/>
        <w:numPr>
          <w:ilvl w:val="0"/>
          <w:numId w:val="1"/>
        </w:numPr>
        <w:spacing w:line="240" w:lineRule="auto"/>
        <w:contextualSpacing/>
        <w:rPr>
          <w:rFonts w:ascii="Abadi MT Condensed Light" w:hAnsi="Abadi MT Condensed Light"/>
          <w:color w:val="2C1600"/>
          <w:sz w:val="26"/>
        </w:rPr>
      </w:pPr>
      <w:r w:rsidRPr="001337E2">
        <w:rPr>
          <w:rFonts w:ascii="Abadi MT Condensed Light" w:hAnsi="Abadi MT Condensed Light"/>
          <w:color w:val="2C1600"/>
          <w:sz w:val="26"/>
        </w:rPr>
        <w:t xml:space="preserve">Interdit l’élimination des compteurs existants et leur remplacement par des compteurs communicants </w:t>
      </w:r>
      <w:proofErr w:type="spellStart"/>
      <w:r w:rsidRPr="001337E2">
        <w:rPr>
          <w:rFonts w:ascii="Abadi MT Condensed Light" w:hAnsi="Abadi MT Condensed Light"/>
          <w:color w:val="2C1600"/>
          <w:sz w:val="26"/>
        </w:rPr>
        <w:t>Linky</w:t>
      </w:r>
      <w:proofErr w:type="spellEnd"/>
      <w:r w:rsidRPr="001337E2">
        <w:rPr>
          <w:rFonts w:ascii="Abadi MT Condensed Light" w:hAnsi="Abadi MT Condensed Light"/>
          <w:color w:val="2C1600"/>
          <w:sz w:val="26"/>
        </w:rPr>
        <w:t xml:space="preserve"> sans l</w:t>
      </w:r>
      <w:r>
        <w:rPr>
          <w:rFonts w:ascii="Abadi MT Condensed Light" w:hAnsi="Abadi MT Condensed Light"/>
          <w:color w:val="2C1600"/>
          <w:sz w:val="26"/>
        </w:rPr>
        <w:t>e consentement préalable de la c</w:t>
      </w:r>
      <w:r w:rsidRPr="001337E2">
        <w:rPr>
          <w:rFonts w:ascii="Abadi MT Condensed Light" w:hAnsi="Abadi MT Condensed Light"/>
          <w:color w:val="2C1600"/>
          <w:sz w:val="26"/>
        </w:rPr>
        <w:t>ommune et une décision de désaffectation de la part de son Conseil municipal.</w:t>
      </w: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p>
    <w:p w:rsidR="006A498E" w:rsidRPr="001337E2" w:rsidRDefault="006A498E" w:rsidP="006A498E">
      <w:pPr>
        <w:rPr>
          <w:rFonts w:ascii="Abadi MT Condensed Light" w:hAnsi="Abadi MT Condensed Light"/>
          <w:color w:val="2C1600"/>
          <w:sz w:val="26"/>
        </w:rPr>
      </w:pPr>
    </w:p>
    <w:p w:rsidR="006A498E" w:rsidRPr="001337E2" w:rsidRDefault="006A498E" w:rsidP="006A498E">
      <w:pPr>
        <w:jc w:val="center"/>
        <w:rPr>
          <w:rFonts w:ascii="Abadi MT Condensed Light" w:hAnsi="Abadi MT Condensed Light"/>
          <w:color w:val="2C1600"/>
          <w:sz w:val="26"/>
        </w:rPr>
      </w:pPr>
    </w:p>
    <w:p w:rsidR="006A498E" w:rsidRPr="002A0E64" w:rsidRDefault="006A498E" w:rsidP="006A498E"/>
    <w:p w:rsidR="006A498E" w:rsidRPr="001337E2" w:rsidRDefault="006A498E" w:rsidP="006A498E">
      <w:pPr>
        <w:jc w:val="center"/>
        <w:rPr>
          <w:rFonts w:ascii="Abadi MT Condensed Light" w:hAnsi="Abadi MT Condensed Light"/>
          <w:color w:val="2C1600"/>
          <w:sz w:val="26"/>
        </w:rPr>
      </w:pPr>
    </w:p>
    <w:p w:rsidR="000854C9" w:rsidRDefault="006A498E"/>
    <w:sectPr w:rsidR="000854C9" w:rsidSect="00763F82">
      <w:headerReference w:type="even" r:id="rId5"/>
      <w:headerReference w:type="default" r:id="rId6"/>
      <w:footerReference w:type="even" r:id="rId7"/>
      <w:footerReference w:type="default" r:id="rId8"/>
      <w:headerReference w:type="first" r:id="rId9"/>
      <w:pgSz w:w="11906" w:h="16838" w:code="9"/>
      <w:pgMar w:top="1134" w:right="1418" w:bottom="1276" w:left="1418" w:header="709"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59"/>
    <w:family w:val="auto"/>
    <w:pitch w:val="variable"/>
    <w:sig w:usb0="00000201" w:usb1="00000000" w:usb2="00000000" w:usb3="00000000" w:csb0="00000004" w:csb1="00000000"/>
  </w:font>
  <w:font w:name="Abadi MT Condensed Light">
    <w:panose1 w:val="020B03060301010101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7AA6" w:rsidRDefault="006A498E" w:rsidP="00763F82">
    <w:pPr>
      <w:pStyle w:val="Pieddepage"/>
      <w:rPr>
        <w:rStyle w:val="Numrodepage"/>
      </w:rPr>
    </w:pPr>
    <w:r>
      <w:rPr>
        <w:rStyle w:val="Numrodepage"/>
      </w:rPr>
      <w:fldChar w:fldCharType="begin"/>
    </w:r>
    <w:r>
      <w:rPr>
        <w:rStyle w:val="Numrodepage"/>
      </w:rPr>
      <w:instrText>PAGE</w:instrText>
    </w:r>
    <w:r>
      <w:rPr>
        <w:rStyle w:val="Numrodepage"/>
      </w:rPr>
      <w:instrText xml:space="preserve">  </w:instrText>
    </w:r>
    <w:r>
      <w:rPr>
        <w:rStyle w:val="Numrodepage"/>
      </w:rPr>
      <w:fldChar w:fldCharType="end"/>
    </w:r>
  </w:p>
  <w:p w:rsidR="00677AA6" w:rsidRDefault="006A498E" w:rsidP="00763F82">
    <w:pPr>
      <w:pStyle w:val="Pieddepage"/>
    </w:pPr>
  </w:p>
  <w:p w:rsidR="00677AA6" w:rsidRDefault="006A498E"/>
  <w:p w:rsidR="00677AA6" w:rsidRDefault="006A498E"/>
  <w:p w:rsidR="00677AA6" w:rsidRDefault="006A498E"/>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7AA6" w:rsidRDefault="006A498E" w:rsidP="00763F82">
    <w:pPr>
      <w:pStyle w:val="Pieddepage"/>
      <w:rPr>
        <w:rStyle w:val="Numrodepage"/>
      </w:rPr>
    </w:pPr>
    <w:r w:rsidRPr="009B1383">
      <w:rPr>
        <w:rStyle w:val="Numrodepage"/>
      </w:rPr>
      <w:tab/>
    </w:r>
    <w:r w:rsidRPr="009B1383">
      <w:rPr>
        <w:rStyle w:val="Numrodepage"/>
      </w:rPr>
      <w:tab/>
    </w:r>
  </w:p>
  <w:p w:rsidR="00677AA6" w:rsidRPr="00905EB3" w:rsidRDefault="006A498E" w:rsidP="00763F82">
    <w:pPr>
      <w:pStyle w:val="Pieddepage"/>
      <w:jc w:val="right"/>
    </w:pPr>
    <w:r w:rsidRPr="00D65488">
      <w:rPr>
        <w:rStyle w:val="Numrodepage"/>
      </w:rPr>
      <w:t xml:space="preserve">. </w:t>
    </w:r>
    <w:r w:rsidRPr="00D65488">
      <w:rPr>
        <w:rStyle w:val="Numrodepage"/>
      </w:rPr>
      <w:fldChar w:fldCharType="begin"/>
    </w:r>
    <w:r w:rsidRPr="00D65488">
      <w:rPr>
        <w:rStyle w:val="Numrodepage"/>
      </w:rPr>
      <w:instrText xml:space="preserve"> </w:instrText>
    </w:r>
    <w:r>
      <w:rPr>
        <w:rStyle w:val="Numrodepage"/>
      </w:rPr>
      <w:instrText>PAGE</w:instrText>
    </w:r>
    <w:r w:rsidRPr="00D65488">
      <w:rPr>
        <w:rStyle w:val="Numrodepage"/>
      </w:rPr>
      <w:instrText xml:space="preserve"> </w:instrText>
    </w:r>
    <w:r w:rsidRPr="00D65488">
      <w:rPr>
        <w:rStyle w:val="Numrodepage"/>
      </w:rPr>
      <w:fldChar w:fldCharType="separate"/>
    </w:r>
    <w:r>
      <w:rPr>
        <w:rStyle w:val="Numrodepage"/>
        <w:noProof/>
      </w:rPr>
      <w:t>2</w:t>
    </w:r>
    <w:r w:rsidRPr="00D65488">
      <w:rPr>
        <w:rStyle w:val="Numrodepage"/>
      </w:rPr>
      <w:fldChar w:fldCharType="end"/>
    </w:r>
    <w:r w:rsidRPr="00D65488">
      <w:rPr>
        <w:rStyle w:val="Numrodepage"/>
      </w:rPr>
      <w:t>/</w:t>
    </w:r>
    <w:r w:rsidRPr="00D65488">
      <w:rPr>
        <w:rStyle w:val="Numrodepage"/>
      </w:rPr>
      <w:fldChar w:fldCharType="begin"/>
    </w:r>
    <w:r w:rsidRPr="00D65488">
      <w:rPr>
        <w:rStyle w:val="Numrodepage"/>
      </w:rPr>
      <w:instrText xml:space="preserve"> </w:instrText>
    </w:r>
    <w:r>
      <w:rPr>
        <w:rStyle w:val="Numrodepage"/>
      </w:rPr>
      <w:instrText>NUMPAGES</w:instrText>
    </w:r>
    <w:r w:rsidRPr="00D65488">
      <w:rPr>
        <w:rStyle w:val="Numrodepage"/>
      </w:rPr>
      <w:instrText xml:space="preserve"> </w:instrText>
    </w:r>
    <w:r w:rsidRPr="00D65488">
      <w:rPr>
        <w:rStyle w:val="Numrodepage"/>
      </w:rPr>
      <w:fldChar w:fldCharType="separate"/>
    </w:r>
    <w:r>
      <w:rPr>
        <w:rStyle w:val="Numrodepage"/>
        <w:noProof/>
      </w:rPr>
      <w:t>3</w:t>
    </w:r>
    <w:r w:rsidRPr="00D65488">
      <w:rPr>
        <w:rStyle w:val="Numrodepage"/>
      </w:rPr>
      <w:fldChar w:fldCharType="end"/>
    </w:r>
    <w:r>
      <w:rPr>
        <w:rStyle w:val="Numrodepage"/>
      </w:rPr>
      <w:t>.</w:t>
    </w: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7AA6" w:rsidRDefault="006A498E"/>
  <w:p w:rsidR="00677AA6" w:rsidRDefault="006A498E"/>
  <w:p w:rsidR="00677AA6" w:rsidRDefault="006A498E"/>
</w:hdr>
</file>

<file path=word/header2.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7AA6" w:rsidRDefault="006A498E" w:rsidP="00763F82">
    <w:pPr>
      <w:pStyle w:val="En-tte"/>
      <w:spacing w:before="240" w:after="100" w:afterAutospacing="1"/>
      <w:jc w:val="left"/>
    </w:pPr>
    <w:r>
      <w:t xml:space="preserve"> </w:t>
    </w:r>
  </w:p>
  <w:p w:rsidR="00677AA6" w:rsidRDefault="006A498E" w:rsidP="00763F82">
    <w:pPr>
      <w:pStyle w:val="En-tte"/>
      <w:tabs>
        <w:tab w:val="clear" w:pos="4536"/>
        <w:tab w:val="clear" w:pos="9072"/>
        <w:tab w:val="left" w:pos="990"/>
      </w:tabs>
    </w:pPr>
    <w:r>
      <w:tab/>
    </w:r>
  </w:p>
</w:hdr>
</file>

<file path=word/header3.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77AA6" w:rsidRDefault="006A498E" w:rsidP="00763F82">
    <w:pPr>
      <w:pStyle w:val="En-tte"/>
      <w:spacing w:before="240" w:after="240"/>
      <w:jc w:val="lef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C337CEB"/>
    <w:multiLevelType w:val="hybridMultilevel"/>
    <w:tmpl w:val="1D3E2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08"/>
  <w:hyphenationZone w:val="425"/>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6A498E"/>
    <w:rsid w:val="006A498E"/>
  </w:rsids>
  <m:mathPr>
    <m:mathFont m:val="Impact"/>
    <m:brkBin m:val="before"/>
    <m:brkBinSub m:val="--"/>
    <m:smallFrac m:val="off"/>
    <m:dispDef m:val="off"/>
    <m:lMargin m:val="0"/>
    <m:rMargin m:val="0"/>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98E"/>
    <w:pPr>
      <w:spacing w:line="320" w:lineRule="exact"/>
      <w:jc w:val="both"/>
    </w:pPr>
    <w:rPr>
      <w:rFonts w:ascii="Arial" w:eastAsia="Times New Roman" w:hAnsi="Arial" w:cs="Times New Roman"/>
      <w:sz w:val="22"/>
      <w:lang w:eastAsia="fr-FR"/>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styleId="Pieddepage">
    <w:name w:val="footer"/>
    <w:basedOn w:val="Normal"/>
    <w:link w:val="PieddepageCar"/>
    <w:uiPriority w:val="99"/>
    <w:rsid w:val="006A498E"/>
    <w:pPr>
      <w:tabs>
        <w:tab w:val="center" w:pos="4536"/>
        <w:tab w:val="right" w:pos="9540"/>
      </w:tabs>
    </w:pPr>
    <w:rPr>
      <w:sz w:val="18"/>
    </w:rPr>
  </w:style>
  <w:style w:type="character" w:customStyle="1" w:styleId="PieddepageCar">
    <w:name w:val="Pied de page Car"/>
    <w:basedOn w:val="Policepardfaut"/>
    <w:link w:val="Pieddepage"/>
    <w:uiPriority w:val="99"/>
    <w:rsid w:val="006A498E"/>
    <w:rPr>
      <w:rFonts w:ascii="Arial" w:eastAsia="Times New Roman" w:hAnsi="Arial" w:cs="Times New Roman"/>
      <w:sz w:val="18"/>
      <w:lang w:eastAsia="fr-FR"/>
    </w:rPr>
  </w:style>
  <w:style w:type="character" w:styleId="Numrodepage">
    <w:name w:val="page number"/>
    <w:uiPriority w:val="99"/>
    <w:rsid w:val="006A498E"/>
    <w:rPr>
      <w:rFonts w:cs="Arial"/>
      <w:sz w:val="18"/>
      <w:szCs w:val="18"/>
    </w:rPr>
  </w:style>
  <w:style w:type="paragraph" w:styleId="En-tte">
    <w:name w:val="header"/>
    <w:basedOn w:val="Normal"/>
    <w:link w:val="En-tteCar"/>
    <w:rsid w:val="006A498E"/>
    <w:pPr>
      <w:tabs>
        <w:tab w:val="center" w:pos="4536"/>
        <w:tab w:val="right" w:pos="9072"/>
      </w:tabs>
    </w:pPr>
  </w:style>
  <w:style w:type="character" w:customStyle="1" w:styleId="En-tteCar">
    <w:name w:val="En-tête Car"/>
    <w:basedOn w:val="Policepardfaut"/>
    <w:link w:val="En-tte"/>
    <w:rsid w:val="006A498E"/>
    <w:rPr>
      <w:rFonts w:ascii="Arial" w:eastAsia="Times New Roman" w:hAnsi="Arial" w:cs="Times New Roman"/>
      <w:sz w:val="22"/>
      <w:lang w:eastAsia="fr-FR"/>
    </w:rPr>
  </w:style>
  <w:style w:type="paragraph" w:styleId="Paragraphedeliste">
    <w:name w:val="List Paragraph"/>
    <w:basedOn w:val="Normal"/>
    <w:uiPriority w:val="34"/>
    <w:qFormat/>
    <w:rsid w:val="006A498E"/>
    <w:pPr>
      <w:ind w:left="708"/>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eader" Target="header1.xml"/><Relationship Id="rId6" Type="http://schemas.openxmlformats.org/officeDocument/2006/relationships/header" Target="header2.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header" Target="header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467</Words>
  <Characters>2662</Characters>
  <Application>Microsoft Word 12.1.0</Application>
  <DocSecurity>0</DocSecurity>
  <Lines>22</Lines>
  <Paragraphs>5</Paragraphs>
  <ScaleCrop>false</ScaleCrop>
  <Company>Avocat</Company>
  <LinksUpToDate>false</LinksUpToDate>
  <CharactersWithSpaces>3269</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Blanche Magarinos</dc:creator>
  <cp:keywords/>
  <cp:lastModifiedBy>Blanche Magarinos</cp:lastModifiedBy>
  <cp:revision>1</cp:revision>
  <dcterms:created xsi:type="dcterms:W3CDTF">2017-02-23T11:21:00Z</dcterms:created>
  <dcterms:modified xsi:type="dcterms:W3CDTF">2017-02-23T11:22:00Z</dcterms:modified>
</cp:coreProperties>
</file>